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669F3" w14:textId="1153B72F" w:rsidR="00EE01DC" w:rsidRDefault="00EE01DC"/>
    <w:p w14:paraId="6B9AB742" w14:textId="77777777" w:rsidR="008D0002" w:rsidRDefault="008D0002" w:rsidP="008D0002">
      <w:pPr>
        <w:spacing w:line="240" w:lineRule="auto"/>
        <w:jc w:val="center"/>
        <w:rPr>
          <w:rFonts w:ascii="Arial" w:hAnsi="Arial" w:cs="Arial"/>
          <w:b/>
        </w:rPr>
      </w:pPr>
    </w:p>
    <w:p w14:paraId="11EBF1D9" w14:textId="77777777" w:rsidR="008D0002" w:rsidRDefault="008D0002" w:rsidP="008D0002">
      <w:pPr>
        <w:spacing w:line="240" w:lineRule="auto"/>
        <w:jc w:val="center"/>
        <w:rPr>
          <w:rFonts w:ascii="Arial" w:hAnsi="Arial" w:cs="Arial"/>
          <w:b/>
        </w:rPr>
      </w:pPr>
    </w:p>
    <w:p w14:paraId="064877B0" w14:textId="0611DF0E" w:rsidR="008D0002" w:rsidRPr="00986F57" w:rsidRDefault="00A80DD6" w:rsidP="008D0002">
      <w:pPr>
        <w:spacing w:line="240" w:lineRule="auto"/>
        <w:jc w:val="center"/>
        <w:rPr>
          <w:rFonts w:ascii="Arial" w:hAnsi="Arial" w:cs="Arial"/>
          <w:b/>
        </w:rPr>
      </w:pPr>
      <w:r>
        <w:rPr>
          <w:rFonts w:ascii="Arial" w:hAnsi="Arial" w:cs="Arial"/>
          <w:b/>
        </w:rPr>
        <w:t xml:space="preserve">A Hope Summarized for Amyotrophic Lateral Sclerosis: </w:t>
      </w:r>
      <w:r w:rsidRPr="00A80DD6">
        <w:rPr>
          <w:rFonts w:ascii="Arial" w:hAnsi="Arial" w:cs="Arial"/>
          <w:b/>
        </w:rPr>
        <w:t>Trial of Sodium Phenylbutyrate–Taurursodiol for Amyotrophic Lateral Sclerosis</w:t>
      </w:r>
    </w:p>
    <w:p w14:paraId="252451CA" w14:textId="09308342" w:rsidR="008D0002" w:rsidRPr="00986F57" w:rsidRDefault="00A80DD6" w:rsidP="008D0002">
      <w:pPr>
        <w:spacing w:line="240" w:lineRule="auto"/>
        <w:jc w:val="center"/>
        <w:rPr>
          <w:rFonts w:ascii="Arial" w:hAnsi="Arial" w:cs="Arial"/>
        </w:rPr>
      </w:pPr>
      <w:r>
        <w:rPr>
          <w:rFonts w:ascii="Arial" w:hAnsi="Arial" w:cs="Arial"/>
        </w:rPr>
        <w:t>Rishika Sharma</w:t>
      </w:r>
    </w:p>
    <w:p w14:paraId="7D626FDA" w14:textId="7285A7B6" w:rsidR="008D0002" w:rsidRPr="00986F57" w:rsidRDefault="00A80DD6" w:rsidP="008D0002">
      <w:pPr>
        <w:spacing w:line="240" w:lineRule="auto"/>
        <w:jc w:val="center"/>
        <w:rPr>
          <w:rFonts w:ascii="Arial" w:hAnsi="Arial" w:cs="Arial"/>
        </w:rPr>
      </w:pPr>
      <w:r>
        <w:rPr>
          <w:rFonts w:ascii="Arial" w:hAnsi="Arial" w:cs="Arial"/>
        </w:rPr>
        <w:t>251008648</w:t>
      </w:r>
    </w:p>
    <w:p w14:paraId="446A0B53" w14:textId="77777777" w:rsidR="008D0002" w:rsidRDefault="008D0002" w:rsidP="008D0002">
      <w:pPr>
        <w:spacing w:line="240" w:lineRule="auto"/>
        <w:jc w:val="center"/>
        <w:rPr>
          <w:rFonts w:ascii="Arial" w:hAnsi="Arial" w:cs="Arial"/>
        </w:rPr>
      </w:pPr>
    </w:p>
    <w:p w14:paraId="33413A75" w14:textId="0B4A767A" w:rsidR="008D0002" w:rsidRPr="00986F57" w:rsidRDefault="008D0002" w:rsidP="008D0002">
      <w:pPr>
        <w:spacing w:line="240" w:lineRule="auto"/>
        <w:jc w:val="center"/>
        <w:rPr>
          <w:rFonts w:ascii="Arial" w:hAnsi="Arial" w:cs="Arial"/>
        </w:rPr>
      </w:pPr>
      <w:r w:rsidRPr="00986F57">
        <w:rPr>
          <w:rFonts w:ascii="Arial" w:hAnsi="Arial" w:cs="Arial"/>
        </w:rPr>
        <w:t>MEDSCIEN9</w:t>
      </w:r>
      <w:r w:rsidR="00A80DD6">
        <w:rPr>
          <w:rFonts w:ascii="Arial" w:hAnsi="Arial" w:cs="Arial"/>
        </w:rPr>
        <w:t>502</w:t>
      </w:r>
    </w:p>
    <w:p w14:paraId="073ECAE0" w14:textId="71E76981" w:rsidR="00A80DD6" w:rsidRPr="00A80DD6" w:rsidRDefault="00A80DD6" w:rsidP="00A80DD6">
      <w:pPr>
        <w:spacing w:line="240" w:lineRule="auto"/>
        <w:jc w:val="center"/>
        <w:rPr>
          <w:rFonts w:ascii="Arial" w:hAnsi="Arial" w:cs="Arial"/>
          <w:b/>
          <w:bCs/>
          <w:lang w:val="en-CA"/>
        </w:rPr>
      </w:pPr>
      <w:r>
        <w:rPr>
          <w:rFonts w:ascii="Arial" w:hAnsi="Arial" w:cs="Arial"/>
        </w:rPr>
        <w:t xml:space="preserve">Dr. </w:t>
      </w:r>
      <w:r w:rsidRPr="00A80DD6">
        <w:rPr>
          <w:rFonts w:ascii="Arial" w:hAnsi="Arial" w:cs="Arial"/>
          <w:lang w:val="en-CA"/>
        </w:rPr>
        <w:t>Martin Duennwald</w:t>
      </w:r>
    </w:p>
    <w:p w14:paraId="686C6308" w14:textId="0EF99685" w:rsidR="008D0002" w:rsidRPr="00986F57" w:rsidRDefault="008D0002" w:rsidP="008D0002">
      <w:pPr>
        <w:spacing w:line="240" w:lineRule="auto"/>
        <w:jc w:val="center"/>
        <w:rPr>
          <w:rFonts w:ascii="Arial" w:hAnsi="Arial" w:cs="Arial"/>
        </w:rPr>
      </w:pPr>
    </w:p>
    <w:p w14:paraId="21202384" w14:textId="18FD5A55" w:rsidR="008D0002" w:rsidRDefault="00A80DD6" w:rsidP="008D0002">
      <w:pPr>
        <w:spacing w:line="240" w:lineRule="auto"/>
        <w:jc w:val="center"/>
        <w:rPr>
          <w:rFonts w:ascii="Arial" w:hAnsi="Arial" w:cs="Arial"/>
        </w:rPr>
      </w:pPr>
      <w:r>
        <w:rPr>
          <w:rFonts w:ascii="Arial" w:hAnsi="Arial" w:cs="Arial"/>
        </w:rPr>
        <w:t>Friday, October 18</w:t>
      </w:r>
      <w:r w:rsidRPr="00A80DD6">
        <w:rPr>
          <w:rFonts w:ascii="Arial" w:hAnsi="Arial" w:cs="Arial"/>
          <w:vertAlign w:val="superscript"/>
        </w:rPr>
        <w:t>th</w:t>
      </w:r>
      <w:r>
        <w:rPr>
          <w:rFonts w:ascii="Arial" w:hAnsi="Arial" w:cs="Arial"/>
        </w:rPr>
        <w:t>, 2024</w:t>
      </w:r>
    </w:p>
    <w:p w14:paraId="68FF5139" w14:textId="77777777" w:rsidR="008D0002" w:rsidRPr="00986F57" w:rsidRDefault="008D0002" w:rsidP="008D0002">
      <w:pPr>
        <w:spacing w:line="240" w:lineRule="auto"/>
        <w:jc w:val="center"/>
        <w:rPr>
          <w:rFonts w:ascii="Arial" w:hAnsi="Arial" w:cs="Arial"/>
        </w:rPr>
      </w:pPr>
    </w:p>
    <w:p w14:paraId="25DBE27B" w14:textId="77777777" w:rsidR="008D0002" w:rsidRPr="00986F57" w:rsidRDefault="008D0002" w:rsidP="008D0002">
      <w:pPr>
        <w:spacing w:line="240" w:lineRule="auto"/>
        <w:jc w:val="center"/>
        <w:rPr>
          <w:rFonts w:ascii="Arial" w:hAnsi="Arial" w:cs="Arial"/>
        </w:rPr>
      </w:pPr>
      <w:r w:rsidRPr="00986F57">
        <w:rPr>
          <w:rFonts w:ascii="Arial" w:hAnsi="Arial" w:cs="Arial"/>
        </w:rPr>
        <w:t>Interdisciplinary Medical Sciences</w:t>
      </w:r>
    </w:p>
    <w:p w14:paraId="7F8C5C4D" w14:textId="77777777" w:rsidR="008D0002" w:rsidRPr="00986F57" w:rsidRDefault="008D0002" w:rsidP="008D0002">
      <w:pPr>
        <w:spacing w:line="240" w:lineRule="auto"/>
        <w:jc w:val="center"/>
        <w:rPr>
          <w:rFonts w:ascii="Arial" w:hAnsi="Arial" w:cs="Arial"/>
        </w:rPr>
      </w:pPr>
      <w:r w:rsidRPr="00986F57">
        <w:rPr>
          <w:rFonts w:ascii="Arial" w:hAnsi="Arial" w:cs="Arial"/>
        </w:rPr>
        <w:t>Schulich School of Medicine and Dentistry</w:t>
      </w:r>
    </w:p>
    <w:p w14:paraId="46BDEB16" w14:textId="77777777" w:rsidR="008D0002" w:rsidRPr="00986F57" w:rsidRDefault="008D0002" w:rsidP="008D0002">
      <w:pPr>
        <w:spacing w:line="240" w:lineRule="auto"/>
        <w:jc w:val="center"/>
        <w:rPr>
          <w:rFonts w:ascii="Arial" w:hAnsi="Arial" w:cs="Arial"/>
        </w:rPr>
      </w:pPr>
      <w:r>
        <w:rPr>
          <w:rFonts w:ascii="Arial" w:hAnsi="Arial" w:cs="Arial"/>
        </w:rPr>
        <w:t>Western University</w:t>
      </w:r>
    </w:p>
    <w:p w14:paraId="53A74EFB" w14:textId="23A9C589" w:rsidR="008D0002" w:rsidRDefault="008D0002"/>
    <w:p w14:paraId="5D65D98C" w14:textId="77777777" w:rsidR="008D0002" w:rsidRDefault="008D0002" w:rsidP="008D0002">
      <w:pPr>
        <w:spacing w:line="240" w:lineRule="auto"/>
        <w:rPr>
          <w:rFonts w:ascii="Arial" w:hAnsi="Arial" w:cs="Arial"/>
          <w:b/>
        </w:rPr>
      </w:pPr>
    </w:p>
    <w:p w14:paraId="6C455014" w14:textId="77777777" w:rsidR="007943AF" w:rsidRDefault="007943AF" w:rsidP="008D0002">
      <w:pPr>
        <w:spacing w:line="240" w:lineRule="auto"/>
        <w:rPr>
          <w:rFonts w:ascii="Arial" w:hAnsi="Arial" w:cs="Arial"/>
          <w:b/>
        </w:rPr>
      </w:pPr>
    </w:p>
    <w:p w14:paraId="5993B34D" w14:textId="2E401A7F" w:rsidR="008D0002" w:rsidRPr="00E55216" w:rsidRDefault="008D0002" w:rsidP="008D0002">
      <w:pPr>
        <w:spacing w:line="240" w:lineRule="auto"/>
        <w:rPr>
          <w:rFonts w:ascii="Arial" w:hAnsi="Arial" w:cs="Arial"/>
          <w:b/>
        </w:rPr>
      </w:pPr>
      <w:r>
        <w:rPr>
          <w:rFonts w:ascii="Arial" w:hAnsi="Arial" w:cs="Arial"/>
          <w:b/>
        </w:rPr>
        <w:t xml:space="preserve">Assignment </w:t>
      </w:r>
      <w:r w:rsidRPr="00E55216">
        <w:rPr>
          <w:rFonts w:ascii="Arial" w:hAnsi="Arial" w:cs="Arial"/>
          <w:b/>
        </w:rPr>
        <w:t>Acknowledgement</w:t>
      </w:r>
    </w:p>
    <w:p w14:paraId="12526BDD" w14:textId="6B9884D9" w:rsidR="008D0002" w:rsidRDefault="00D35EC8" w:rsidP="008D0002">
      <w:pPr>
        <w:spacing w:line="240" w:lineRule="auto"/>
        <w:rPr>
          <w:rFonts w:ascii="Arial" w:hAnsi="Arial" w:cs="Arial"/>
        </w:rPr>
      </w:pPr>
      <w:r>
        <w:rPr>
          <w:rFonts w:ascii="Arial" w:hAnsi="Arial" w:cs="Arial"/>
        </w:rPr>
        <w:t xml:space="preserve">This assignment used generative AI, specifically Grammarly, to check for grammatical correctness. </w:t>
      </w:r>
      <w:r w:rsidR="00A80DD6">
        <w:rPr>
          <w:rFonts w:ascii="Arial" w:hAnsi="Arial" w:cs="Arial"/>
        </w:rPr>
        <w:t xml:space="preserve">This assignment has a Turnitin originality score of </w:t>
      </w:r>
      <w:r w:rsidR="008C0CBF">
        <w:rPr>
          <w:rFonts w:ascii="Arial" w:hAnsi="Arial" w:cs="Arial"/>
        </w:rPr>
        <w:t>6</w:t>
      </w:r>
      <w:r w:rsidR="00A80DD6">
        <w:rPr>
          <w:rFonts w:ascii="Arial" w:hAnsi="Arial" w:cs="Arial"/>
        </w:rPr>
        <w:t>%.</w:t>
      </w:r>
    </w:p>
    <w:p w14:paraId="6717066F" w14:textId="77777777" w:rsidR="008D0002" w:rsidRDefault="008D0002" w:rsidP="008D0002">
      <w:pPr>
        <w:spacing w:line="240" w:lineRule="auto"/>
        <w:rPr>
          <w:rFonts w:ascii="Arial" w:hAnsi="Arial" w:cs="Arial"/>
        </w:rPr>
      </w:pPr>
    </w:p>
    <w:p w14:paraId="0B92E869" w14:textId="6443B56D" w:rsidR="007943AF" w:rsidRDefault="6436A619" w:rsidP="13C888A6">
      <w:pPr>
        <w:rPr>
          <w:rFonts w:ascii="Arial" w:eastAsia="Arial" w:hAnsi="Arial" w:cs="Arial"/>
          <w:color w:val="000000" w:themeColor="text1"/>
        </w:rPr>
      </w:pPr>
      <w:r w:rsidRPr="13C888A6">
        <w:rPr>
          <w:rFonts w:ascii="Arial" w:eastAsia="Arial" w:hAnsi="Arial" w:cs="Arial"/>
          <w:b/>
          <w:bCs/>
          <w:color w:val="000000" w:themeColor="text1"/>
        </w:rPr>
        <w:t>Assignment Knowledge Check</w:t>
      </w:r>
    </w:p>
    <w:tbl>
      <w:tblPr>
        <w:tblStyle w:val="TableGrid"/>
        <w:tblW w:w="934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00"/>
        <w:gridCol w:w="3345"/>
        <w:gridCol w:w="3600"/>
      </w:tblGrid>
      <w:tr w:rsidR="13C888A6" w14:paraId="152035C7" w14:textId="77777777" w:rsidTr="00D35EC8">
        <w:trPr>
          <w:trHeight w:val="300"/>
        </w:trPr>
        <w:tc>
          <w:tcPr>
            <w:tcW w:w="2400" w:type="dxa"/>
            <w:shd w:val="clear" w:color="auto" w:fill="F2F2F2" w:themeFill="background1" w:themeFillShade="F2"/>
            <w:tcMar>
              <w:left w:w="105" w:type="dxa"/>
              <w:right w:w="105" w:type="dxa"/>
            </w:tcMar>
          </w:tcPr>
          <w:p w14:paraId="5510489A" w14:textId="29BC3300" w:rsidR="13C888A6" w:rsidRDefault="13C888A6" w:rsidP="13C888A6">
            <w:pPr>
              <w:spacing w:line="259" w:lineRule="auto"/>
              <w:rPr>
                <w:rFonts w:ascii="Arial" w:eastAsia="Arial" w:hAnsi="Arial" w:cs="Arial"/>
              </w:rPr>
            </w:pPr>
            <w:r w:rsidRPr="13C888A6">
              <w:rPr>
                <w:rFonts w:ascii="Arial" w:eastAsia="Arial" w:hAnsi="Arial" w:cs="Arial"/>
                <w:b/>
                <w:bCs/>
              </w:rPr>
              <w:t>Student Name</w:t>
            </w:r>
          </w:p>
        </w:tc>
        <w:tc>
          <w:tcPr>
            <w:tcW w:w="3345" w:type="dxa"/>
            <w:shd w:val="clear" w:color="auto" w:fill="F2F2F2" w:themeFill="background1" w:themeFillShade="F2"/>
            <w:tcMar>
              <w:left w:w="105" w:type="dxa"/>
              <w:right w:w="105" w:type="dxa"/>
            </w:tcMar>
          </w:tcPr>
          <w:p w14:paraId="58E7DF98" w14:textId="7E4EEE0F" w:rsidR="13C888A6" w:rsidRDefault="13C888A6" w:rsidP="13C888A6">
            <w:pPr>
              <w:spacing w:line="259" w:lineRule="auto"/>
              <w:rPr>
                <w:rFonts w:ascii="Arial" w:eastAsia="Arial" w:hAnsi="Arial" w:cs="Arial"/>
              </w:rPr>
            </w:pPr>
            <w:r w:rsidRPr="13C888A6">
              <w:rPr>
                <w:rFonts w:ascii="Arial" w:eastAsia="Arial" w:hAnsi="Arial" w:cs="Arial"/>
                <w:b/>
                <w:bCs/>
              </w:rPr>
              <w:t>What aspects of this assignment did you find less challenging?</w:t>
            </w:r>
          </w:p>
        </w:tc>
        <w:tc>
          <w:tcPr>
            <w:tcW w:w="3600" w:type="dxa"/>
            <w:shd w:val="clear" w:color="auto" w:fill="F2F2F2" w:themeFill="background1" w:themeFillShade="F2"/>
            <w:tcMar>
              <w:left w:w="105" w:type="dxa"/>
              <w:right w:w="105" w:type="dxa"/>
            </w:tcMar>
          </w:tcPr>
          <w:p w14:paraId="612B9B8A" w14:textId="7C7212FA" w:rsidR="13C888A6" w:rsidRDefault="13C888A6" w:rsidP="13C888A6">
            <w:pPr>
              <w:spacing w:line="259" w:lineRule="auto"/>
              <w:rPr>
                <w:rFonts w:ascii="Arial" w:eastAsia="Arial" w:hAnsi="Arial" w:cs="Arial"/>
              </w:rPr>
            </w:pPr>
            <w:r w:rsidRPr="13C888A6">
              <w:rPr>
                <w:rFonts w:ascii="Arial" w:eastAsia="Arial" w:hAnsi="Arial" w:cs="Arial"/>
                <w:b/>
                <w:bCs/>
              </w:rPr>
              <w:t>What aspects of this assignment did you find more challenging?</w:t>
            </w:r>
          </w:p>
          <w:p w14:paraId="745E8F6D" w14:textId="0DEF8541" w:rsidR="13C888A6" w:rsidRDefault="13C888A6" w:rsidP="13C888A6">
            <w:pPr>
              <w:spacing w:line="259" w:lineRule="auto"/>
              <w:rPr>
                <w:rFonts w:ascii="Arial" w:eastAsia="Arial" w:hAnsi="Arial" w:cs="Arial"/>
              </w:rPr>
            </w:pPr>
          </w:p>
        </w:tc>
      </w:tr>
      <w:tr w:rsidR="13C888A6" w14:paraId="7C2C1E2C" w14:textId="77777777" w:rsidTr="00D35EC8">
        <w:trPr>
          <w:trHeight w:val="300"/>
        </w:trPr>
        <w:tc>
          <w:tcPr>
            <w:tcW w:w="2400" w:type="dxa"/>
            <w:tcMar>
              <w:left w:w="105" w:type="dxa"/>
              <w:right w:w="105" w:type="dxa"/>
            </w:tcMar>
          </w:tcPr>
          <w:p w14:paraId="231C8689" w14:textId="1487AF68" w:rsidR="13C888A6" w:rsidRDefault="00D35EC8" w:rsidP="13C888A6">
            <w:pPr>
              <w:spacing w:line="259" w:lineRule="auto"/>
              <w:rPr>
                <w:rFonts w:ascii="Arial" w:eastAsia="Arial" w:hAnsi="Arial" w:cs="Arial"/>
              </w:rPr>
            </w:pPr>
            <w:r>
              <w:rPr>
                <w:rFonts w:ascii="Arial" w:eastAsia="Arial" w:hAnsi="Arial" w:cs="Arial"/>
              </w:rPr>
              <w:t>Rishika Sharma</w:t>
            </w:r>
          </w:p>
        </w:tc>
        <w:tc>
          <w:tcPr>
            <w:tcW w:w="3345" w:type="dxa"/>
            <w:tcMar>
              <w:left w:w="105" w:type="dxa"/>
              <w:right w:w="105" w:type="dxa"/>
            </w:tcMar>
          </w:tcPr>
          <w:p w14:paraId="32DF141C" w14:textId="4B4340C8" w:rsidR="13C888A6" w:rsidRDefault="00D35EC8" w:rsidP="00D35EC8">
            <w:pPr>
              <w:pStyle w:val="ListParagraph"/>
              <w:numPr>
                <w:ilvl w:val="0"/>
                <w:numId w:val="1"/>
              </w:numPr>
              <w:rPr>
                <w:rFonts w:ascii="Arial" w:eastAsia="Arial" w:hAnsi="Arial" w:cs="Arial"/>
              </w:rPr>
            </w:pPr>
            <w:r w:rsidRPr="00D35EC8">
              <w:rPr>
                <w:rFonts w:ascii="Arial" w:eastAsia="Arial" w:hAnsi="Arial" w:cs="Arial"/>
              </w:rPr>
              <w:t xml:space="preserve">Understanding how to interpret the figures. </w:t>
            </w:r>
          </w:p>
          <w:p w14:paraId="7FF8228C" w14:textId="28D5A75C" w:rsidR="00D35EC8" w:rsidRDefault="00D35EC8" w:rsidP="00D35EC8">
            <w:pPr>
              <w:pStyle w:val="ListParagraph"/>
              <w:numPr>
                <w:ilvl w:val="0"/>
                <w:numId w:val="1"/>
              </w:numPr>
              <w:rPr>
                <w:rFonts w:ascii="Arial" w:eastAsia="Arial" w:hAnsi="Arial" w:cs="Arial"/>
              </w:rPr>
            </w:pPr>
            <w:r>
              <w:rPr>
                <w:rFonts w:ascii="Arial" w:eastAsia="Arial" w:hAnsi="Arial" w:cs="Arial"/>
              </w:rPr>
              <w:t>Making notes on the articles.</w:t>
            </w:r>
          </w:p>
          <w:p w14:paraId="4CF2D2A8" w14:textId="6FE67622" w:rsidR="00D35EC8" w:rsidRPr="00D35EC8" w:rsidRDefault="00D35EC8" w:rsidP="00D35EC8">
            <w:pPr>
              <w:pStyle w:val="ListParagraph"/>
              <w:numPr>
                <w:ilvl w:val="0"/>
                <w:numId w:val="1"/>
              </w:numPr>
              <w:rPr>
                <w:rFonts w:ascii="Arial" w:eastAsia="Arial" w:hAnsi="Arial" w:cs="Arial"/>
              </w:rPr>
            </w:pPr>
            <w:r>
              <w:rPr>
                <w:rFonts w:ascii="Arial" w:eastAsia="Arial" w:hAnsi="Arial" w:cs="Arial"/>
              </w:rPr>
              <w:t>Creating a glossary for terms I was unaware of.</w:t>
            </w:r>
          </w:p>
          <w:p w14:paraId="361342BA" w14:textId="3F59BB95" w:rsidR="00D35EC8" w:rsidRDefault="00D35EC8" w:rsidP="13C888A6">
            <w:pPr>
              <w:spacing w:line="259" w:lineRule="auto"/>
              <w:rPr>
                <w:rFonts w:ascii="Arial" w:eastAsia="Arial" w:hAnsi="Arial" w:cs="Arial"/>
              </w:rPr>
            </w:pPr>
          </w:p>
        </w:tc>
        <w:tc>
          <w:tcPr>
            <w:tcW w:w="3600" w:type="dxa"/>
            <w:tcMar>
              <w:left w:w="105" w:type="dxa"/>
              <w:right w:w="105" w:type="dxa"/>
            </w:tcMar>
          </w:tcPr>
          <w:p w14:paraId="01A9CCBE" w14:textId="77777777" w:rsidR="13C888A6" w:rsidRDefault="00D35EC8" w:rsidP="00D35EC8">
            <w:pPr>
              <w:pStyle w:val="ListParagraph"/>
              <w:numPr>
                <w:ilvl w:val="0"/>
                <w:numId w:val="2"/>
              </w:numPr>
              <w:rPr>
                <w:rFonts w:ascii="Arial" w:eastAsia="Arial" w:hAnsi="Arial" w:cs="Arial"/>
              </w:rPr>
            </w:pPr>
            <w:r>
              <w:rPr>
                <w:rFonts w:ascii="Arial" w:eastAsia="Arial" w:hAnsi="Arial" w:cs="Arial"/>
              </w:rPr>
              <w:t xml:space="preserve">Paraphrasing technical aspects of the articles. </w:t>
            </w:r>
          </w:p>
          <w:p w14:paraId="2A5BA86F" w14:textId="77777777" w:rsidR="00D35EC8" w:rsidRDefault="00D35EC8" w:rsidP="00D35EC8">
            <w:pPr>
              <w:pStyle w:val="ListParagraph"/>
              <w:numPr>
                <w:ilvl w:val="0"/>
                <w:numId w:val="2"/>
              </w:numPr>
              <w:rPr>
                <w:rFonts w:ascii="Arial" w:eastAsia="Arial" w:hAnsi="Arial" w:cs="Arial"/>
              </w:rPr>
            </w:pPr>
            <w:r>
              <w:rPr>
                <w:rFonts w:ascii="Arial" w:eastAsia="Arial" w:hAnsi="Arial" w:cs="Arial"/>
              </w:rPr>
              <w:t>Finding the articles.</w:t>
            </w:r>
          </w:p>
          <w:p w14:paraId="02585453" w14:textId="477E0FA3" w:rsidR="00D35EC8" w:rsidRPr="00D35EC8" w:rsidRDefault="00D35EC8" w:rsidP="00D35EC8">
            <w:pPr>
              <w:pStyle w:val="ListParagraph"/>
              <w:numPr>
                <w:ilvl w:val="0"/>
                <w:numId w:val="2"/>
              </w:numPr>
              <w:rPr>
                <w:rFonts w:ascii="Arial" w:eastAsia="Arial" w:hAnsi="Arial" w:cs="Arial"/>
              </w:rPr>
            </w:pPr>
            <w:r>
              <w:rPr>
                <w:rFonts w:ascii="Arial" w:eastAsia="Arial" w:hAnsi="Arial" w:cs="Arial"/>
              </w:rPr>
              <w:t xml:space="preserve">Writing to ensure a balance of differet aspects. </w:t>
            </w:r>
          </w:p>
        </w:tc>
      </w:tr>
    </w:tbl>
    <w:p w14:paraId="486B5341" w14:textId="4DA31A09" w:rsidR="007943AF" w:rsidRDefault="007943AF" w:rsidP="13C888A6">
      <w:pPr>
        <w:rPr>
          <w:rFonts w:ascii="Arial" w:eastAsia="Arial" w:hAnsi="Arial" w:cs="Arial"/>
          <w:color w:val="000000" w:themeColor="text1"/>
        </w:rPr>
      </w:pPr>
    </w:p>
    <w:p w14:paraId="566132D3" w14:textId="5710C430" w:rsidR="00A80DD6" w:rsidRPr="00A66FF5" w:rsidRDefault="00A80DD6" w:rsidP="00D35EC8">
      <w:pPr>
        <w:rPr>
          <w:rFonts w:ascii="Arial" w:hAnsi="Arial" w:cs="Arial"/>
          <w:b/>
          <w:bCs/>
        </w:rPr>
      </w:pPr>
      <w:r w:rsidRPr="00A66FF5">
        <w:rPr>
          <w:rFonts w:ascii="Arial" w:hAnsi="Arial" w:cs="Arial"/>
          <w:b/>
          <w:bCs/>
        </w:rPr>
        <w:lastRenderedPageBreak/>
        <w:t>Summary: Trial of Sodium Phenylbutyrate–Taurursodiol for Amyotrophic Lateral Sclerosis</w:t>
      </w:r>
    </w:p>
    <w:p w14:paraId="2AB7A7A1" w14:textId="2A85497E" w:rsidR="00D35EC8" w:rsidRPr="00A66FF5" w:rsidRDefault="00D35EC8" w:rsidP="00D35EC8">
      <w:pPr>
        <w:rPr>
          <w:rFonts w:ascii="Arial" w:hAnsi="Arial" w:cs="Arial"/>
        </w:rPr>
      </w:pPr>
      <w:r w:rsidRPr="00A66FF5">
        <w:rPr>
          <w:rFonts w:ascii="Arial" w:hAnsi="Arial" w:cs="Arial"/>
        </w:rPr>
        <w:t>Protein aggregation and misfolding due to endoplasmic reticulum (ER) dysfunction or stress and/or mitochondrial dysfunction has been suggested in the pathogenesis of Amyotrophic lateral sclerosis (ALS).</w:t>
      </w:r>
      <w:r w:rsidRPr="00A66FF5">
        <w:rPr>
          <w:rFonts w:ascii="Arial" w:hAnsi="Arial" w:cs="Arial"/>
          <w:vertAlign w:val="superscript"/>
        </w:rPr>
        <w:t>1,3</w:t>
      </w:r>
      <w:r w:rsidRPr="00A66FF5">
        <w:rPr>
          <w:rFonts w:ascii="Arial" w:hAnsi="Arial" w:cs="Arial"/>
        </w:rPr>
        <w:t xml:space="preserve"> ALS is defined by degradation of motor neurons in the spinal cord and motor cortex that results in accelerating muscle weakness.</w:t>
      </w:r>
      <w:r w:rsidRPr="00A66FF5">
        <w:rPr>
          <w:rFonts w:ascii="Arial" w:hAnsi="Arial" w:cs="Arial"/>
          <w:vertAlign w:val="superscript"/>
        </w:rPr>
        <w:t>4</w:t>
      </w:r>
      <w:r w:rsidRPr="00A66FF5">
        <w:rPr>
          <w:rFonts w:ascii="Arial" w:hAnsi="Arial" w:cs="Arial"/>
        </w:rPr>
        <w:t xml:space="preserve"> Sodium phenylbutyrate and taurursodiol have been known to reduce the death of neurons. Sodium phenylbutyrate behaves as a molecular chaperone reducing toxicity ER-stress related toxicity, while taurursodiol decreases the mitochondrial permeability and enhances the cell’s apoptotic threshold.</w:t>
      </w:r>
      <w:r w:rsidRPr="00A66FF5">
        <w:rPr>
          <w:rFonts w:ascii="Arial" w:hAnsi="Arial" w:cs="Arial"/>
          <w:vertAlign w:val="superscript"/>
        </w:rPr>
        <w:t>2,5</w:t>
      </w:r>
      <w:r w:rsidRPr="00A66FF5">
        <w:rPr>
          <w:rFonts w:ascii="Arial" w:hAnsi="Arial" w:cs="Arial"/>
        </w:rPr>
        <w:t xml:space="preserve"> Hence, it is hypothesized that a combination of sodium phenylbutyrate-taurursodiol may reduce the rate of ALS progression through decreasing neurodegeneration.</w:t>
      </w:r>
    </w:p>
    <w:p w14:paraId="62A69EA8" w14:textId="77777777" w:rsidR="00D35EC8" w:rsidRPr="00A66FF5" w:rsidRDefault="00D35EC8" w:rsidP="00D35EC8">
      <w:pPr>
        <w:rPr>
          <w:rFonts w:ascii="Arial" w:hAnsi="Arial" w:cs="Arial"/>
          <w:vertAlign w:val="superscript"/>
        </w:rPr>
      </w:pPr>
      <w:r w:rsidRPr="00A66FF5">
        <w:rPr>
          <w:rFonts w:ascii="Arial" w:hAnsi="Arial" w:cs="Arial"/>
        </w:rPr>
        <w:t>This study is a Phase 2, multicenter, double-blind, randomized, placebo-controlled trial, which assesses the efficacy of a coformulation of sodium phenylbutyrate–taurursodiol in 137 adult participants with ALS.</w:t>
      </w:r>
      <w:r w:rsidRPr="00A66FF5">
        <w:rPr>
          <w:rFonts w:ascii="Arial" w:hAnsi="Arial" w:cs="Arial"/>
          <w:vertAlign w:val="superscript"/>
        </w:rPr>
        <w:t>4</w:t>
      </w:r>
      <w:r w:rsidRPr="00A66FF5">
        <w:rPr>
          <w:rFonts w:ascii="Arial" w:hAnsi="Arial" w:cs="Arial"/>
        </w:rPr>
        <w:t xml:space="preserve"> The participants must have experienced an onset of symptoms within a window of 18 months, have a slow vital capacity (SVC) higher than 60% of the expected value rooted in the participant’s sex, height and age and they cannot be using Riluzole at the beginning of the trial or 30 days before screening.</w:t>
      </w:r>
      <w:r w:rsidRPr="00A66FF5">
        <w:rPr>
          <w:rFonts w:ascii="Arial" w:hAnsi="Arial" w:cs="Arial"/>
          <w:vertAlign w:val="superscript"/>
        </w:rPr>
        <w:t>4</w:t>
      </w:r>
    </w:p>
    <w:p w14:paraId="2D2184B3" w14:textId="77777777" w:rsidR="00D35EC8" w:rsidRPr="00A66FF5" w:rsidRDefault="00D35EC8" w:rsidP="00D35EC8">
      <w:pPr>
        <w:rPr>
          <w:rFonts w:ascii="Arial" w:hAnsi="Arial" w:cs="Arial"/>
        </w:rPr>
      </w:pPr>
      <w:r w:rsidRPr="00A66FF5">
        <w:rPr>
          <w:rFonts w:ascii="Arial" w:hAnsi="Arial" w:cs="Arial"/>
        </w:rPr>
        <w:t>Participants were randomly allocated in a 2:1 ratio to receive the combination intervention (89 participants), consisting of 3g of sodium phenylbutyrate and 1g of taurursodiol or the placebo (48 participants) through either oral administration or a feeding tube.</w:t>
      </w:r>
      <w:r w:rsidRPr="00A66FF5">
        <w:rPr>
          <w:rFonts w:ascii="Arial" w:hAnsi="Arial" w:cs="Arial"/>
          <w:vertAlign w:val="superscript"/>
        </w:rPr>
        <w:t>4</w:t>
      </w:r>
      <w:r w:rsidRPr="00A66FF5">
        <w:rPr>
          <w:rFonts w:ascii="Arial" w:hAnsi="Arial" w:cs="Arial"/>
        </w:rPr>
        <w:t xml:space="preserve"> Participants began with a single dose for the first three weeks, progressing to a dose in the morning and one in the evening for the remaining 21 weeks, for a total time of 24 weeks.</w:t>
      </w:r>
      <w:r w:rsidRPr="00A66FF5">
        <w:rPr>
          <w:rFonts w:ascii="Arial" w:hAnsi="Arial" w:cs="Arial"/>
          <w:vertAlign w:val="superscript"/>
        </w:rPr>
        <w:t>4</w:t>
      </w:r>
      <w:r w:rsidRPr="00A66FF5">
        <w:rPr>
          <w:rFonts w:ascii="Arial" w:hAnsi="Arial" w:cs="Arial"/>
        </w:rPr>
        <w:t xml:space="preserve"> Follow-up appointments were conducted every 3 weeks for 24 weeks, with a final visit at 28 weeks.</w:t>
      </w:r>
      <w:r w:rsidRPr="00A66FF5">
        <w:rPr>
          <w:rFonts w:ascii="Arial" w:hAnsi="Arial" w:cs="Arial"/>
          <w:vertAlign w:val="superscript"/>
        </w:rPr>
        <w:t>4</w:t>
      </w:r>
      <w:r w:rsidRPr="00A66FF5">
        <w:rPr>
          <w:rFonts w:ascii="Arial" w:hAnsi="Arial" w:cs="Arial"/>
        </w:rPr>
        <w:t xml:space="preserve"> </w:t>
      </w:r>
    </w:p>
    <w:p w14:paraId="79EC8F8E" w14:textId="77777777" w:rsidR="00D35EC8" w:rsidRPr="00A66FF5" w:rsidRDefault="00D35EC8" w:rsidP="00D35EC8">
      <w:pPr>
        <w:rPr>
          <w:rFonts w:ascii="Arial" w:hAnsi="Arial" w:cs="Arial"/>
        </w:rPr>
      </w:pPr>
      <w:r w:rsidRPr="00A66FF5">
        <w:rPr>
          <w:rFonts w:ascii="Arial" w:hAnsi="Arial" w:cs="Arial"/>
        </w:rPr>
        <w:t>The primary endpoint of the trial involves assessing the rate of decline using the ALS Functional Rating Scale-Revise (ALSFRS-R) over 24 weeks.</w:t>
      </w:r>
      <w:r w:rsidRPr="00A66FF5">
        <w:rPr>
          <w:rFonts w:ascii="Arial" w:hAnsi="Arial" w:cs="Arial"/>
          <w:vertAlign w:val="superscript"/>
        </w:rPr>
        <w:t>4</w:t>
      </w:r>
      <w:r w:rsidRPr="00A66FF5">
        <w:rPr>
          <w:rFonts w:ascii="Arial" w:hAnsi="Arial" w:cs="Arial"/>
        </w:rPr>
        <w:t xml:space="preserve"> Secondary endpoints were to evaluate tracheostomy, time to death, permanent ventilation and alterations in strength of muscles, plasma levels of phosphorylated neurofilament H levels, a related biomarker, and/or SVC.</w:t>
      </w:r>
      <w:r w:rsidRPr="00A66FF5">
        <w:rPr>
          <w:rFonts w:ascii="Arial" w:hAnsi="Arial" w:cs="Arial"/>
          <w:vertAlign w:val="superscript"/>
        </w:rPr>
        <w:t>4</w:t>
      </w:r>
      <w:r w:rsidRPr="00A66FF5">
        <w:rPr>
          <w:rFonts w:ascii="Arial" w:hAnsi="Arial" w:cs="Arial"/>
        </w:rPr>
        <w:t xml:space="preserve"> The study was powered at 80% to distinguish a 30% difference in the rate of decline in the ALSFRS-R complete score between the two intervention groups, with a two-sided alpha level of 0.1.</w:t>
      </w:r>
      <w:r w:rsidRPr="00A66FF5">
        <w:rPr>
          <w:rFonts w:ascii="Arial" w:hAnsi="Arial" w:cs="Arial"/>
          <w:vertAlign w:val="superscript"/>
        </w:rPr>
        <w:t>4</w:t>
      </w:r>
      <w:r w:rsidRPr="00A66FF5">
        <w:rPr>
          <w:rFonts w:ascii="Arial" w:hAnsi="Arial" w:cs="Arial"/>
        </w:rPr>
        <w:t xml:space="preserve">  Analysis of the primary endpoint unveiled that those receiving the combination therapy underwent a reduced rate of decline in ALFSR-R scores as compared to the placebo, with a difference of 0.42 points per month.</w:t>
      </w:r>
      <w:r w:rsidRPr="00A66FF5">
        <w:rPr>
          <w:rFonts w:ascii="Arial" w:hAnsi="Arial" w:cs="Arial"/>
          <w:vertAlign w:val="superscript"/>
        </w:rPr>
        <w:t>4</w:t>
      </w:r>
      <w:r w:rsidRPr="00A66FF5">
        <w:rPr>
          <w:rFonts w:ascii="Arial" w:hAnsi="Arial" w:cs="Arial"/>
        </w:rPr>
        <w:t xml:space="preserve"> However, there were no significant differences seen in the secondary endpoints.</w:t>
      </w:r>
      <w:r w:rsidRPr="00A66FF5">
        <w:rPr>
          <w:rFonts w:ascii="Arial" w:hAnsi="Arial" w:cs="Arial"/>
          <w:vertAlign w:val="superscript"/>
        </w:rPr>
        <w:t>4</w:t>
      </w:r>
      <w:r w:rsidRPr="00A66FF5">
        <w:rPr>
          <w:rFonts w:ascii="Arial" w:hAnsi="Arial" w:cs="Arial"/>
        </w:rPr>
        <w:t xml:space="preserve"> </w:t>
      </w:r>
    </w:p>
    <w:p w14:paraId="034C3433" w14:textId="1EEC73DB" w:rsidR="00D35EC8" w:rsidRPr="00A66FF5" w:rsidRDefault="00D35EC8" w:rsidP="00D35EC8">
      <w:pPr>
        <w:rPr>
          <w:rFonts w:ascii="Arial" w:hAnsi="Arial" w:cs="Arial"/>
          <w:vertAlign w:val="superscript"/>
        </w:rPr>
      </w:pPr>
      <w:r w:rsidRPr="00A66FF5">
        <w:rPr>
          <w:rFonts w:ascii="Arial" w:hAnsi="Arial" w:cs="Arial"/>
        </w:rPr>
        <w:t xml:space="preserve">The trial was approved by IRBs at every </w:t>
      </w:r>
      <w:r w:rsidR="00A80DD6" w:rsidRPr="00A66FF5">
        <w:rPr>
          <w:rFonts w:ascii="Arial" w:hAnsi="Arial" w:cs="Arial"/>
        </w:rPr>
        <w:t>center</w:t>
      </w:r>
      <w:r w:rsidRPr="00A66FF5">
        <w:rPr>
          <w:rFonts w:ascii="Arial" w:hAnsi="Arial" w:cs="Arial"/>
        </w:rPr>
        <w:t>, there was informed consent given by every participant.</w:t>
      </w:r>
      <w:r w:rsidRPr="00A66FF5">
        <w:rPr>
          <w:rFonts w:ascii="Arial" w:hAnsi="Arial" w:cs="Arial"/>
          <w:vertAlign w:val="superscript"/>
        </w:rPr>
        <w:t>4</w:t>
      </w:r>
      <w:r w:rsidRPr="00A66FF5">
        <w:rPr>
          <w:rFonts w:ascii="Arial" w:hAnsi="Arial" w:cs="Arial"/>
        </w:rPr>
        <w:t xml:space="preserve"> There were certain adverse events that were experienced, such as diarrhea and nausea, which were mitigated with adjustments to the dosing regimen.</w:t>
      </w:r>
      <w:r w:rsidRPr="00A66FF5">
        <w:rPr>
          <w:rFonts w:ascii="Arial" w:hAnsi="Arial" w:cs="Arial"/>
          <w:vertAlign w:val="superscript"/>
        </w:rPr>
        <w:t>4</w:t>
      </w:r>
    </w:p>
    <w:p w14:paraId="1D7B3483" w14:textId="77777777" w:rsidR="00D35EC8" w:rsidRPr="00A66FF5" w:rsidRDefault="00D35EC8" w:rsidP="00D35EC8">
      <w:pPr>
        <w:rPr>
          <w:rFonts w:ascii="Arial" w:hAnsi="Arial" w:cs="Arial"/>
        </w:rPr>
      </w:pPr>
      <w:r w:rsidRPr="00A66FF5">
        <w:rPr>
          <w:rFonts w:ascii="Arial" w:hAnsi="Arial" w:cs="Arial"/>
        </w:rPr>
        <w:t xml:space="preserve">Even though there were no significant observations made in the secondary outcomes, the reduction in the rate of functional decline seen in the assessment of primary outcomes warrants further research. This combination therapy can potentially be beneficial for those with ALS if administered with other agents, or earlier upon diagnosis. There needs to be more research surrounding the safety and efficacy profiles of this coformulation. </w:t>
      </w:r>
    </w:p>
    <w:p w14:paraId="0EA10F78" w14:textId="53DB1615" w:rsidR="007943AF" w:rsidRPr="00A66FF5" w:rsidRDefault="007943AF" w:rsidP="007943AF">
      <w:pPr>
        <w:rPr>
          <w:rFonts w:ascii="Arial" w:hAnsi="Arial" w:cs="Arial"/>
        </w:rPr>
      </w:pPr>
    </w:p>
    <w:p w14:paraId="16EAF2E8" w14:textId="4E756880" w:rsidR="007943AF" w:rsidRPr="00A66FF5" w:rsidRDefault="007943AF" w:rsidP="007943AF">
      <w:pPr>
        <w:rPr>
          <w:rFonts w:ascii="Arial" w:hAnsi="Arial" w:cs="Arial"/>
        </w:rPr>
      </w:pPr>
    </w:p>
    <w:p w14:paraId="34149C3D" w14:textId="77777777" w:rsidR="00D35EC8" w:rsidRPr="00A66FF5" w:rsidRDefault="00D35EC8" w:rsidP="00D35EC8">
      <w:pPr>
        <w:rPr>
          <w:rFonts w:ascii="Arial" w:hAnsi="Arial" w:cs="Arial"/>
        </w:rPr>
      </w:pPr>
      <w:r w:rsidRPr="00A66FF5">
        <w:rPr>
          <w:rFonts w:ascii="Arial" w:hAnsi="Arial" w:cs="Arial"/>
        </w:rPr>
        <w:t xml:space="preserve">References: </w:t>
      </w:r>
    </w:p>
    <w:p w14:paraId="15BA9001" w14:textId="77777777" w:rsidR="00D35EC8" w:rsidRPr="00A66FF5" w:rsidRDefault="00D35EC8" w:rsidP="00D35EC8">
      <w:pPr>
        <w:pStyle w:val="ListParagraph"/>
        <w:numPr>
          <w:ilvl w:val="0"/>
          <w:numId w:val="3"/>
        </w:numPr>
        <w:spacing w:line="278" w:lineRule="auto"/>
        <w:ind w:left="714" w:hanging="357"/>
        <w:rPr>
          <w:rFonts w:ascii="Arial" w:hAnsi="Arial" w:cs="Arial"/>
        </w:rPr>
      </w:pPr>
      <w:proofErr w:type="spellStart"/>
      <w:r w:rsidRPr="00A66FF5">
        <w:rPr>
          <w:rFonts w:ascii="Arial" w:hAnsi="Arial" w:cs="Arial"/>
        </w:rPr>
        <w:t>Jaronen</w:t>
      </w:r>
      <w:proofErr w:type="spellEnd"/>
      <w:r w:rsidRPr="00A66FF5">
        <w:rPr>
          <w:rFonts w:ascii="Arial" w:hAnsi="Arial" w:cs="Arial"/>
        </w:rPr>
        <w:t xml:space="preserve"> M, </w:t>
      </w:r>
      <w:proofErr w:type="spellStart"/>
      <w:r w:rsidRPr="00A66FF5">
        <w:rPr>
          <w:rFonts w:ascii="Arial" w:hAnsi="Arial" w:cs="Arial"/>
        </w:rPr>
        <w:t>Goldsteins</w:t>
      </w:r>
      <w:proofErr w:type="spellEnd"/>
      <w:r w:rsidRPr="00A66FF5">
        <w:rPr>
          <w:rFonts w:ascii="Arial" w:hAnsi="Arial" w:cs="Arial"/>
        </w:rPr>
        <w:t xml:space="preserve"> G, </w:t>
      </w:r>
      <w:proofErr w:type="spellStart"/>
      <w:r w:rsidRPr="00A66FF5">
        <w:rPr>
          <w:rFonts w:ascii="Arial" w:hAnsi="Arial" w:cs="Arial"/>
        </w:rPr>
        <w:t>Koistinaho</w:t>
      </w:r>
      <w:proofErr w:type="spellEnd"/>
      <w:r w:rsidRPr="00A66FF5">
        <w:rPr>
          <w:rFonts w:ascii="Arial" w:hAnsi="Arial" w:cs="Arial"/>
        </w:rPr>
        <w:t xml:space="preserve"> J. ER stress and unfolded protein response in </w:t>
      </w:r>
    </w:p>
    <w:p w14:paraId="3133208D" w14:textId="77777777" w:rsidR="00D35EC8" w:rsidRPr="00A66FF5" w:rsidRDefault="00D35EC8" w:rsidP="00D35EC8">
      <w:pPr>
        <w:pStyle w:val="ListParagraph"/>
        <w:ind w:firstLine="720"/>
        <w:rPr>
          <w:rFonts w:ascii="Arial" w:hAnsi="Arial" w:cs="Arial"/>
        </w:rPr>
      </w:pPr>
      <w:r w:rsidRPr="00A66FF5">
        <w:rPr>
          <w:rFonts w:ascii="Arial" w:hAnsi="Arial" w:cs="Arial"/>
        </w:rPr>
        <w:t xml:space="preserve">amyotrophic lateral sclerosis—a controversial role of protein </w:t>
      </w:r>
      <w:proofErr w:type="spellStart"/>
      <w:r w:rsidRPr="00A66FF5">
        <w:rPr>
          <w:rFonts w:ascii="Arial" w:hAnsi="Arial" w:cs="Arial"/>
        </w:rPr>
        <w:t>disulphide</w:t>
      </w:r>
      <w:proofErr w:type="spellEnd"/>
      <w:r w:rsidRPr="00A66FF5">
        <w:rPr>
          <w:rFonts w:ascii="Arial" w:hAnsi="Arial" w:cs="Arial"/>
        </w:rPr>
        <w:t xml:space="preserve"> </w:t>
      </w:r>
    </w:p>
    <w:p w14:paraId="11747ED1" w14:textId="77777777" w:rsidR="00D35EC8" w:rsidRPr="00A66FF5" w:rsidRDefault="00D35EC8" w:rsidP="00D35EC8">
      <w:pPr>
        <w:pStyle w:val="ListParagraph"/>
        <w:ind w:firstLine="720"/>
        <w:rPr>
          <w:rFonts w:ascii="Arial" w:hAnsi="Arial" w:cs="Arial"/>
        </w:rPr>
      </w:pPr>
      <w:r w:rsidRPr="00A66FF5">
        <w:rPr>
          <w:rFonts w:ascii="Arial" w:hAnsi="Arial" w:cs="Arial"/>
        </w:rPr>
        <w:t xml:space="preserve">isomerase. Front Cell </w:t>
      </w:r>
      <w:proofErr w:type="spellStart"/>
      <w:r w:rsidRPr="00A66FF5">
        <w:rPr>
          <w:rFonts w:ascii="Arial" w:hAnsi="Arial" w:cs="Arial"/>
        </w:rPr>
        <w:t>Neurosci</w:t>
      </w:r>
      <w:proofErr w:type="spellEnd"/>
      <w:r w:rsidRPr="00A66FF5">
        <w:rPr>
          <w:rFonts w:ascii="Arial" w:hAnsi="Arial" w:cs="Arial"/>
        </w:rPr>
        <w:t xml:space="preserve">. </w:t>
      </w:r>
      <w:proofErr w:type="gramStart"/>
      <w:r w:rsidRPr="00A66FF5">
        <w:rPr>
          <w:rFonts w:ascii="Arial" w:hAnsi="Arial" w:cs="Arial"/>
        </w:rPr>
        <w:t>2014;8:402</w:t>
      </w:r>
      <w:proofErr w:type="gramEnd"/>
      <w:r w:rsidRPr="00A66FF5">
        <w:rPr>
          <w:rFonts w:ascii="Arial" w:hAnsi="Arial" w:cs="Arial"/>
        </w:rPr>
        <w:t>. doi:10.3389/fncel.2014.00402.</w:t>
      </w:r>
    </w:p>
    <w:p w14:paraId="3D31D73E" w14:textId="77777777" w:rsidR="00D35EC8" w:rsidRPr="00A66FF5" w:rsidRDefault="00D35EC8" w:rsidP="00D35EC8">
      <w:pPr>
        <w:pStyle w:val="ListParagraph"/>
        <w:numPr>
          <w:ilvl w:val="0"/>
          <w:numId w:val="3"/>
        </w:numPr>
        <w:spacing w:line="278" w:lineRule="auto"/>
        <w:rPr>
          <w:rFonts w:ascii="Arial" w:hAnsi="Arial" w:cs="Arial"/>
        </w:rPr>
      </w:pPr>
      <w:r w:rsidRPr="00A66FF5">
        <w:rPr>
          <w:rFonts w:ascii="Arial" w:hAnsi="Arial" w:cs="Arial"/>
        </w:rPr>
        <w:t xml:space="preserve"> Kaur B, Bhat A, Chakraborty R, et al. Proteomic profile of 4-PBA treated human </w:t>
      </w:r>
    </w:p>
    <w:p w14:paraId="3C1B2BA8" w14:textId="77777777" w:rsidR="00D35EC8" w:rsidRPr="00A66FF5" w:rsidRDefault="00D35EC8" w:rsidP="00D35EC8">
      <w:pPr>
        <w:pStyle w:val="ListParagraph"/>
        <w:ind w:firstLine="720"/>
        <w:rPr>
          <w:rFonts w:ascii="Arial" w:hAnsi="Arial" w:cs="Arial"/>
        </w:rPr>
      </w:pPr>
      <w:r w:rsidRPr="00A66FF5">
        <w:rPr>
          <w:rFonts w:ascii="Arial" w:hAnsi="Arial" w:cs="Arial"/>
        </w:rPr>
        <w:t xml:space="preserve">neuronal cells during ER stress. Mol Omics. 2018;14(1):53-63. </w:t>
      </w:r>
    </w:p>
    <w:p w14:paraId="7966A677" w14:textId="77777777" w:rsidR="00D35EC8" w:rsidRPr="00A66FF5" w:rsidRDefault="00D35EC8" w:rsidP="00D35EC8">
      <w:pPr>
        <w:pStyle w:val="ListParagraph"/>
        <w:ind w:firstLine="720"/>
        <w:rPr>
          <w:rFonts w:ascii="Arial" w:hAnsi="Arial" w:cs="Arial"/>
        </w:rPr>
      </w:pPr>
      <w:r w:rsidRPr="00A66FF5">
        <w:rPr>
          <w:rFonts w:ascii="Arial" w:hAnsi="Arial" w:cs="Arial"/>
        </w:rPr>
        <w:t>doi:10.1039/C7MO00054J.</w:t>
      </w:r>
    </w:p>
    <w:p w14:paraId="720D2CA5" w14:textId="77777777" w:rsidR="00D35EC8" w:rsidRPr="00A66FF5" w:rsidRDefault="00D35EC8" w:rsidP="00D35EC8">
      <w:pPr>
        <w:pStyle w:val="ListParagraph"/>
        <w:numPr>
          <w:ilvl w:val="0"/>
          <w:numId w:val="3"/>
        </w:numPr>
        <w:spacing w:line="278" w:lineRule="auto"/>
        <w:rPr>
          <w:rFonts w:ascii="Arial" w:hAnsi="Arial" w:cs="Arial"/>
        </w:rPr>
      </w:pPr>
      <w:r w:rsidRPr="00A66FF5">
        <w:rPr>
          <w:rFonts w:ascii="Arial" w:hAnsi="Arial" w:cs="Arial"/>
        </w:rPr>
        <w:t xml:space="preserve">Mehta AR, Walters R, Waldron FM, et al. Targeting mitochondrial dysfunction in </w:t>
      </w:r>
    </w:p>
    <w:p w14:paraId="7E76BB3C" w14:textId="77777777" w:rsidR="00D35EC8" w:rsidRPr="00A66FF5" w:rsidRDefault="00D35EC8" w:rsidP="00D35EC8">
      <w:pPr>
        <w:pStyle w:val="ListParagraph"/>
        <w:ind w:firstLine="720"/>
        <w:rPr>
          <w:rFonts w:ascii="Arial" w:hAnsi="Arial" w:cs="Arial"/>
        </w:rPr>
      </w:pPr>
      <w:r w:rsidRPr="00A66FF5">
        <w:rPr>
          <w:rFonts w:ascii="Arial" w:hAnsi="Arial" w:cs="Arial"/>
        </w:rPr>
        <w:t xml:space="preserve">amyotrophic lateral sclerosis: A systematic review and meta-analysis. Brain </w:t>
      </w:r>
    </w:p>
    <w:p w14:paraId="2BF9F265" w14:textId="77777777" w:rsidR="00D35EC8" w:rsidRPr="00A66FF5" w:rsidRDefault="00D35EC8" w:rsidP="00D35EC8">
      <w:pPr>
        <w:pStyle w:val="ListParagraph"/>
        <w:ind w:firstLine="720"/>
        <w:rPr>
          <w:rFonts w:ascii="Arial" w:hAnsi="Arial" w:cs="Arial"/>
        </w:rPr>
      </w:pPr>
      <w:proofErr w:type="spellStart"/>
      <w:r w:rsidRPr="00A66FF5">
        <w:rPr>
          <w:rFonts w:ascii="Arial" w:hAnsi="Arial" w:cs="Arial"/>
        </w:rPr>
        <w:t>Commun</w:t>
      </w:r>
      <w:proofErr w:type="spellEnd"/>
      <w:r w:rsidRPr="00A66FF5">
        <w:rPr>
          <w:rFonts w:ascii="Arial" w:hAnsi="Arial" w:cs="Arial"/>
        </w:rPr>
        <w:t>. 2019;1(1). doi:10.1093/</w:t>
      </w:r>
      <w:proofErr w:type="spellStart"/>
      <w:r w:rsidRPr="00A66FF5">
        <w:rPr>
          <w:rFonts w:ascii="Arial" w:hAnsi="Arial" w:cs="Arial"/>
        </w:rPr>
        <w:t>braincomms</w:t>
      </w:r>
      <w:proofErr w:type="spellEnd"/>
      <w:r w:rsidRPr="00A66FF5">
        <w:rPr>
          <w:rFonts w:ascii="Arial" w:hAnsi="Arial" w:cs="Arial"/>
        </w:rPr>
        <w:t>/fcz009.</w:t>
      </w:r>
    </w:p>
    <w:p w14:paraId="2ED4E170" w14:textId="77777777" w:rsidR="00D35EC8" w:rsidRPr="00A66FF5" w:rsidRDefault="00D35EC8" w:rsidP="00D35EC8">
      <w:pPr>
        <w:pStyle w:val="ListParagraph"/>
        <w:numPr>
          <w:ilvl w:val="0"/>
          <w:numId w:val="3"/>
        </w:numPr>
        <w:spacing w:line="278" w:lineRule="auto"/>
        <w:rPr>
          <w:rFonts w:ascii="Arial" w:hAnsi="Arial" w:cs="Arial"/>
        </w:rPr>
      </w:pPr>
      <w:proofErr w:type="spellStart"/>
      <w:r w:rsidRPr="00A66FF5">
        <w:rPr>
          <w:rFonts w:ascii="Arial" w:hAnsi="Arial" w:cs="Arial"/>
        </w:rPr>
        <w:t>Paganoni</w:t>
      </w:r>
      <w:proofErr w:type="spellEnd"/>
      <w:r w:rsidRPr="00A66FF5">
        <w:rPr>
          <w:rFonts w:ascii="Arial" w:hAnsi="Arial" w:cs="Arial"/>
        </w:rPr>
        <w:t xml:space="preserve"> S, Macklin EA, Hendrix S, et al. Trial of Sodium Phenylbutyrate-</w:t>
      </w:r>
    </w:p>
    <w:p w14:paraId="37D949E0" w14:textId="77777777" w:rsidR="00D35EC8" w:rsidRPr="00A66FF5" w:rsidRDefault="00D35EC8" w:rsidP="00D35EC8">
      <w:pPr>
        <w:pStyle w:val="ListParagraph"/>
        <w:ind w:firstLine="720"/>
        <w:rPr>
          <w:rFonts w:ascii="Arial" w:hAnsi="Arial" w:cs="Arial"/>
        </w:rPr>
      </w:pPr>
      <w:r w:rsidRPr="00A66FF5">
        <w:rPr>
          <w:rFonts w:ascii="Arial" w:hAnsi="Arial" w:cs="Arial"/>
        </w:rPr>
        <w:t>Taurursodiol for Amyotrophic Lateral Sclerosis. </w:t>
      </w:r>
      <w:r w:rsidRPr="00A66FF5">
        <w:rPr>
          <w:rFonts w:ascii="Arial" w:hAnsi="Arial" w:cs="Arial"/>
          <w:i/>
          <w:iCs/>
        </w:rPr>
        <w:t>N Engl J Med</w:t>
      </w:r>
      <w:r w:rsidRPr="00A66FF5">
        <w:rPr>
          <w:rFonts w:ascii="Arial" w:hAnsi="Arial" w:cs="Arial"/>
        </w:rPr>
        <w:t xml:space="preserve">. </w:t>
      </w:r>
    </w:p>
    <w:p w14:paraId="25F3D518" w14:textId="77777777" w:rsidR="00D35EC8" w:rsidRPr="00A66FF5" w:rsidRDefault="00D35EC8" w:rsidP="00D35EC8">
      <w:pPr>
        <w:pStyle w:val="ListParagraph"/>
        <w:ind w:firstLine="720"/>
        <w:rPr>
          <w:rFonts w:ascii="Arial" w:hAnsi="Arial" w:cs="Arial"/>
        </w:rPr>
      </w:pPr>
      <w:r w:rsidRPr="00A66FF5">
        <w:rPr>
          <w:rFonts w:ascii="Arial" w:hAnsi="Arial" w:cs="Arial"/>
        </w:rPr>
        <w:t>2020;383(10):919-930. doi:10.1056/NEJMoa1916945</w:t>
      </w:r>
    </w:p>
    <w:p w14:paraId="1642AE79" w14:textId="77777777" w:rsidR="00D35EC8" w:rsidRPr="00A66FF5" w:rsidRDefault="00D35EC8" w:rsidP="00D35EC8">
      <w:pPr>
        <w:pStyle w:val="ListParagraph"/>
        <w:numPr>
          <w:ilvl w:val="0"/>
          <w:numId w:val="3"/>
        </w:numPr>
        <w:spacing w:line="278" w:lineRule="auto"/>
        <w:rPr>
          <w:rFonts w:ascii="Arial" w:hAnsi="Arial" w:cs="Arial"/>
        </w:rPr>
      </w:pPr>
      <w:r w:rsidRPr="00A66FF5">
        <w:rPr>
          <w:rFonts w:ascii="Arial" w:hAnsi="Arial" w:cs="Arial"/>
        </w:rPr>
        <w:t xml:space="preserve">Rodrigues CM, </w:t>
      </w:r>
      <w:proofErr w:type="spellStart"/>
      <w:r w:rsidRPr="00A66FF5">
        <w:rPr>
          <w:rFonts w:ascii="Arial" w:hAnsi="Arial" w:cs="Arial"/>
        </w:rPr>
        <w:t>Solá</w:t>
      </w:r>
      <w:proofErr w:type="spellEnd"/>
      <w:r w:rsidRPr="00A66FF5">
        <w:rPr>
          <w:rFonts w:ascii="Arial" w:hAnsi="Arial" w:cs="Arial"/>
        </w:rPr>
        <w:t xml:space="preserve"> S, Sharpe JC, Moura JJ, Steer CJ. </w:t>
      </w:r>
      <w:proofErr w:type="spellStart"/>
      <w:r w:rsidRPr="00A66FF5">
        <w:rPr>
          <w:rFonts w:ascii="Arial" w:hAnsi="Arial" w:cs="Arial"/>
        </w:rPr>
        <w:t>Tauroursodeoxycholic</w:t>
      </w:r>
      <w:proofErr w:type="spellEnd"/>
      <w:r w:rsidRPr="00A66FF5">
        <w:rPr>
          <w:rFonts w:ascii="Arial" w:hAnsi="Arial" w:cs="Arial"/>
        </w:rPr>
        <w:t xml:space="preserve"> acid </w:t>
      </w:r>
    </w:p>
    <w:p w14:paraId="172C06A4" w14:textId="77777777" w:rsidR="00D35EC8" w:rsidRPr="00A66FF5" w:rsidRDefault="00D35EC8" w:rsidP="00D35EC8">
      <w:pPr>
        <w:pStyle w:val="ListParagraph"/>
        <w:ind w:firstLine="720"/>
        <w:rPr>
          <w:rFonts w:ascii="Arial" w:hAnsi="Arial" w:cs="Arial"/>
        </w:rPr>
      </w:pPr>
      <w:r w:rsidRPr="00A66FF5">
        <w:rPr>
          <w:rFonts w:ascii="Arial" w:hAnsi="Arial" w:cs="Arial"/>
        </w:rPr>
        <w:t xml:space="preserve">prevents </w:t>
      </w:r>
      <w:proofErr w:type="spellStart"/>
      <w:r w:rsidRPr="00A66FF5">
        <w:rPr>
          <w:rFonts w:ascii="Arial" w:hAnsi="Arial" w:cs="Arial"/>
        </w:rPr>
        <w:t>Bax</w:t>
      </w:r>
      <w:proofErr w:type="spellEnd"/>
      <w:r w:rsidRPr="00A66FF5">
        <w:rPr>
          <w:rFonts w:ascii="Arial" w:hAnsi="Arial" w:cs="Arial"/>
        </w:rPr>
        <w:t xml:space="preserve">-induced membrane perturbation and cytochrome C release in </w:t>
      </w:r>
    </w:p>
    <w:p w14:paraId="0F077B47" w14:textId="77777777" w:rsidR="00D35EC8" w:rsidRPr="00A66FF5" w:rsidRDefault="00D35EC8" w:rsidP="00D35EC8">
      <w:pPr>
        <w:pStyle w:val="ListParagraph"/>
        <w:ind w:firstLine="720"/>
        <w:rPr>
          <w:rFonts w:ascii="Arial" w:hAnsi="Arial" w:cs="Arial"/>
        </w:rPr>
      </w:pPr>
      <w:r w:rsidRPr="00A66FF5">
        <w:rPr>
          <w:rFonts w:ascii="Arial" w:hAnsi="Arial" w:cs="Arial"/>
        </w:rPr>
        <w:t xml:space="preserve">isolated mitochondria. Biochemistry. 2003;42(10):3070-80. </w:t>
      </w:r>
    </w:p>
    <w:p w14:paraId="2D110106" w14:textId="77777777" w:rsidR="00D35EC8" w:rsidRPr="00A66FF5" w:rsidRDefault="00D35EC8" w:rsidP="00D35EC8">
      <w:pPr>
        <w:pStyle w:val="ListParagraph"/>
        <w:ind w:firstLine="720"/>
        <w:rPr>
          <w:rFonts w:ascii="Arial" w:hAnsi="Arial" w:cs="Arial"/>
        </w:rPr>
      </w:pPr>
      <w:r w:rsidRPr="00A66FF5">
        <w:rPr>
          <w:rFonts w:ascii="Arial" w:hAnsi="Arial" w:cs="Arial"/>
        </w:rPr>
        <w:t>doi:10.1021/bi0269904.</w:t>
      </w:r>
    </w:p>
    <w:p w14:paraId="0936D583" w14:textId="17A9C25B" w:rsidR="007943AF" w:rsidRPr="00A66FF5" w:rsidRDefault="007943AF" w:rsidP="007943AF">
      <w:pPr>
        <w:tabs>
          <w:tab w:val="left" w:pos="5276"/>
        </w:tabs>
        <w:rPr>
          <w:rFonts w:ascii="Arial" w:hAnsi="Arial" w:cs="Arial"/>
        </w:rPr>
      </w:pPr>
      <w:r w:rsidRPr="00A66FF5">
        <w:rPr>
          <w:rFonts w:ascii="Arial" w:hAnsi="Arial" w:cs="Arial"/>
        </w:rPr>
        <w:tab/>
      </w:r>
    </w:p>
    <w:sectPr w:rsidR="007943AF" w:rsidRPr="00A66FF5" w:rsidSect="007943AF">
      <w:footerReference w:type="default" r:id="rId11"/>
      <w:headerReference w:type="firs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21C83" w14:textId="77777777" w:rsidR="002E5FB2" w:rsidRDefault="002E5FB2" w:rsidP="008D0002">
      <w:pPr>
        <w:spacing w:after="0" w:line="240" w:lineRule="auto"/>
      </w:pPr>
      <w:r>
        <w:separator/>
      </w:r>
    </w:p>
  </w:endnote>
  <w:endnote w:type="continuationSeparator" w:id="0">
    <w:p w14:paraId="76A4941A" w14:textId="77777777" w:rsidR="002E5FB2" w:rsidRDefault="002E5FB2" w:rsidP="008D0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255200799"/>
      <w:docPartObj>
        <w:docPartGallery w:val="Page Numbers (Bottom of Page)"/>
        <w:docPartUnique/>
      </w:docPartObj>
    </w:sdtPr>
    <w:sdtEndPr>
      <w:rPr>
        <w:noProof/>
      </w:rPr>
    </w:sdtEndPr>
    <w:sdtContent>
      <w:p w14:paraId="792FE198" w14:textId="26425A89" w:rsidR="007943AF" w:rsidRPr="007943AF" w:rsidRDefault="007943AF">
        <w:pPr>
          <w:pStyle w:val="Footer"/>
          <w:jc w:val="right"/>
          <w:rPr>
            <w:rFonts w:ascii="Arial" w:hAnsi="Arial" w:cs="Arial"/>
          </w:rPr>
        </w:pPr>
        <w:r w:rsidRPr="007943AF">
          <w:rPr>
            <w:rFonts w:ascii="Arial" w:hAnsi="Arial" w:cs="Arial"/>
          </w:rPr>
          <w:fldChar w:fldCharType="begin"/>
        </w:r>
        <w:r w:rsidRPr="007943AF">
          <w:rPr>
            <w:rFonts w:ascii="Arial" w:hAnsi="Arial" w:cs="Arial"/>
          </w:rPr>
          <w:instrText xml:space="preserve"> PAGE   \* MERGEFORMAT </w:instrText>
        </w:r>
        <w:r w:rsidRPr="007943AF">
          <w:rPr>
            <w:rFonts w:ascii="Arial" w:hAnsi="Arial" w:cs="Arial"/>
          </w:rPr>
          <w:fldChar w:fldCharType="separate"/>
        </w:r>
        <w:r w:rsidRPr="007943AF">
          <w:rPr>
            <w:rFonts w:ascii="Arial" w:hAnsi="Arial" w:cs="Arial"/>
            <w:noProof/>
          </w:rPr>
          <w:t>2</w:t>
        </w:r>
        <w:r w:rsidRPr="007943AF">
          <w:rPr>
            <w:rFonts w:ascii="Arial" w:hAnsi="Arial" w:cs="Arial"/>
            <w:noProof/>
          </w:rPr>
          <w:fldChar w:fldCharType="end"/>
        </w:r>
      </w:p>
    </w:sdtContent>
  </w:sdt>
  <w:p w14:paraId="0222AF70" w14:textId="77777777" w:rsidR="007943AF" w:rsidRDefault="00794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2A1B4" w14:textId="77777777" w:rsidR="002E5FB2" w:rsidRDefault="002E5FB2" w:rsidP="008D0002">
      <w:pPr>
        <w:spacing w:after="0" w:line="240" w:lineRule="auto"/>
      </w:pPr>
      <w:r>
        <w:separator/>
      </w:r>
    </w:p>
  </w:footnote>
  <w:footnote w:type="continuationSeparator" w:id="0">
    <w:p w14:paraId="232425CC" w14:textId="77777777" w:rsidR="002E5FB2" w:rsidRDefault="002E5FB2" w:rsidP="008D0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2C856" w14:textId="39070D25" w:rsidR="008D0002" w:rsidRDefault="008D0002">
    <w:pPr>
      <w:pStyle w:val="Header"/>
    </w:pPr>
    <w:r w:rsidRPr="008D0002">
      <w:rPr>
        <w:noProof/>
      </w:rPr>
      <w:drawing>
        <wp:anchor distT="0" distB="0" distL="114300" distR="114300" simplePos="0" relativeHeight="251659264" behindDoc="1" locked="0" layoutInCell="1" allowOverlap="1" wp14:anchorId="5290CE50" wp14:editId="25A15263">
          <wp:simplePos x="0" y="0"/>
          <wp:positionH relativeFrom="page">
            <wp:posOffset>429260</wp:posOffset>
          </wp:positionH>
          <wp:positionV relativeFrom="paragraph">
            <wp:posOffset>-135255</wp:posOffset>
          </wp:positionV>
          <wp:extent cx="2406650" cy="842645"/>
          <wp:effectExtent l="0" t="0" r="0" b="0"/>
          <wp:wrapNone/>
          <wp:docPr id="1" name="Picture 1"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and white clouds&#10;&#10;Description automatically generated"/>
                  <pic:cNvPicPr/>
                </pic:nvPicPr>
                <pic:blipFill rotWithShape="1">
                  <a:blip r:embed="rId1">
                    <a:extLst>
                      <a:ext uri="{28A0092B-C50C-407E-A947-70E740481C1C}">
                        <a14:useLocalDpi xmlns:a14="http://schemas.microsoft.com/office/drawing/2010/main" val="0"/>
                      </a:ext>
                    </a:extLst>
                  </a:blip>
                  <a:srcRect l="4181" t="24331" r="61589" b="7761"/>
                  <a:stretch/>
                </pic:blipFill>
                <pic:spPr bwMode="auto">
                  <a:xfrm>
                    <a:off x="0" y="0"/>
                    <a:ext cx="2406650" cy="842645"/>
                  </a:xfrm>
                  <a:prstGeom prst="rect">
                    <a:avLst/>
                  </a:prstGeom>
                  <a:ln>
                    <a:noFill/>
                  </a:ln>
                  <a:extLst>
                    <a:ext uri="{53640926-AAD7-44D8-BBD7-CCE9431645EC}">
                      <a14:shadowObscured xmlns:a14="http://schemas.microsoft.com/office/drawing/2010/main"/>
                    </a:ex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Pr="008D0002">
      <w:rPr>
        <w:rFonts w:hint="eastAsia"/>
        <w:noProof/>
      </w:rPr>
      <w:drawing>
        <wp:anchor distT="0" distB="0" distL="114300" distR="114300" simplePos="0" relativeHeight="251660288" behindDoc="1" locked="0" layoutInCell="1" allowOverlap="1" wp14:anchorId="11E8FE46" wp14:editId="77B9954B">
          <wp:simplePos x="0" y="0"/>
          <wp:positionH relativeFrom="page">
            <wp:posOffset>5233145</wp:posOffset>
          </wp:positionH>
          <wp:positionV relativeFrom="paragraph">
            <wp:posOffset>-39287</wp:posOffset>
          </wp:positionV>
          <wp:extent cx="2206960" cy="652007"/>
          <wp:effectExtent l="0" t="0" r="3175" b="0"/>
          <wp:wrapNone/>
          <wp:docPr id="4" name="Picture 4"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pic:cNvPicPr/>
                </pic:nvPicPr>
                <pic:blipFill rotWithShape="1">
                  <a:blip r:embed="rId2">
                    <a:extLst>
                      <a:ext uri="{28A0092B-C50C-407E-A947-70E740481C1C}">
                        <a14:useLocalDpi xmlns:a14="http://schemas.microsoft.com/office/drawing/2010/main" val="0"/>
                      </a:ext>
                    </a:extLst>
                  </a:blip>
                  <a:srcRect l="67826" t="28990" r="6189" b="27508"/>
                  <a:stretch/>
                </pic:blipFill>
                <pic:spPr bwMode="auto">
                  <a:xfrm>
                    <a:off x="0" y="0"/>
                    <a:ext cx="2206960" cy="652007"/>
                  </a:xfrm>
                  <a:prstGeom prst="rect">
                    <a:avLst/>
                  </a:prstGeom>
                  <a:ln>
                    <a:noFill/>
                  </a:ln>
                  <a:extLst>
                    <a:ext uri="{53640926-AAD7-44D8-BBD7-CCE9431645EC}">
                      <a14:shadowObscured xmlns:a14="http://schemas.microsoft.com/office/drawing/2010/main"/>
                    </a:ex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F645A"/>
    <w:multiLevelType w:val="hybridMultilevel"/>
    <w:tmpl w:val="EC68E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B0543"/>
    <w:multiLevelType w:val="hybridMultilevel"/>
    <w:tmpl w:val="6212E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185553"/>
    <w:multiLevelType w:val="hybridMultilevel"/>
    <w:tmpl w:val="04163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797722">
    <w:abstractNumId w:val="2"/>
  </w:num>
  <w:num w:numId="2" w16cid:durableId="92552160">
    <w:abstractNumId w:val="1"/>
  </w:num>
  <w:num w:numId="3" w16cid:durableId="936325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002"/>
    <w:rsid w:val="00061EBD"/>
    <w:rsid w:val="001C52EE"/>
    <w:rsid w:val="002E5FB2"/>
    <w:rsid w:val="00705FF9"/>
    <w:rsid w:val="007943AF"/>
    <w:rsid w:val="00822751"/>
    <w:rsid w:val="008C0CBF"/>
    <w:rsid w:val="008D0002"/>
    <w:rsid w:val="00A24865"/>
    <w:rsid w:val="00A66FF5"/>
    <w:rsid w:val="00A80DD6"/>
    <w:rsid w:val="00D35EC8"/>
    <w:rsid w:val="00EE01DC"/>
    <w:rsid w:val="00F52E66"/>
    <w:rsid w:val="00FE47A4"/>
    <w:rsid w:val="13C888A6"/>
    <w:rsid w:val="6436A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974BF"/>
  <w15:chartTrackingRefBased/>
  <w15:docId w15:val="{1E688F7B-CC5A-4650-BD5D-762DF924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002"/>
  </w:style>
  <w:style w:type="paragraph" w:styleId="Heading3">
    <w:name w:val="heading 3"/>
    <w:basedOn w:val="Normal"/>
    <w:next w:val="Normal"/>
    <w:link w:val="Heading3Char"/>
    <w:uiPriority w:val="9"/>
    <w:semiHidden/>
    <w:unhideWhenUsed/>
    <w:qFormat/>
    <w:rsid w:val="00A80DD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002"/>
  </w:style>
  <w:style w:type="paragraph" w:styleId="Footer">
    <w:name w:val="footer"/>
    <w:basedOn w:val="Normal"/>
    <w:link w:val="FooterChar"/>
    <w:uiPriority w:val="99"/>
    <w:unhideWhenUsed/>
    <w:rsid w:val="008D0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002"/>
  </w:style>
  <w:style w:type="paragraph" w:customStyle="1" w:styleId="ArialDefault">
    <w:name w:val="Arial Default"/>
    <w:basedOn w:val="Normal"/>
    <w:link w:val="ArialDefaultChar"/>
    <w:qFormat/>
    <w:rsid w:val="007943AF"/>
    <w:rPr>
      <w:rFonts w:ascii="Arial" w:hAnsi="Arial" w:cs="Arial"/>
    </w:rPr>
  </w:style>
  <w:style w:type="character" w:customStyle="1" w:styleId="ArialDefaultChar">
    <w:name w:val="Arial Default Char"/>
    <w:basedOn w:val="DefaultParagraphFont"/>
    <w:link w:val="ArialDefault"/>
    <w:rsid w:val="007943AF"/>
    <w:rPr>
      <w:rFonts w:ascii="Arial" w:hAnsi="Arial" w:cs="Arial"/>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35EC8"/>
    <w:pPr>
      <w:ind w:left="720"/>
      <w:contextualSpacing/>
    </w:pPr>
  </w:style>
  <w:style w:type="character" w:customStyle="1" w:styleId="Heading3Char">
    <w:name w:val="Heading 3 Char"/>
    <w:basedOn w:val="DefaultParagraphFont"/>
    <w:link w:val="Heading3"/>
    <w:uiPriority w:val="9"/>
    <w:semiHidden/>
    <w:rsid w:val="00A80DD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426948">
      <w:bodyDiv w:val="1"/>
      <w:marLeft w:val="0"/>
      <w:marRight w:val="0"/>
      <w:marTop w:val="0"/>
      <w:marBottom w:val="0"/>
      <w:divBdr>
        <w:top w:val="none" w:sz="0" w:space="0" w:color="auto"/>
        <w:left w:val="none" w:sz="0" w:space="0" w:color="auto"/>
        <w:bottom w:val="none" w:sz="0" w:space="0" w:color="auto"/>
        <w:right w:val="none" w:sz="0" w:space="0" w:color="auto"/>
      </w:divBdr>
    </w:div>
    <w:div w:id="85118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45b6eab-6514-4b48-8102-5aec643af54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B7F69797060F34F8F97E8E648C2C150" ma:contentTypeVersion="18" ma:contentTypeDescription="Create a new document." ma:contentTypeScope="" ma:versionID="09a7d7fe5f7bbe590bb095046bed8e6e">
  <xsd:schema xmlns:xsd="http://www.w3.org/2001/XMLSchema" xmlns:xs="http://www.w3.org/2001/XMLSchema" xmlns:p="http://schemas.microsoft.com/office/2006/metadata/properties" xmlns:ns3="345b6eab-6514-4b48-8102-5aec643af54a" xmlns:ns4="d33e61ea-6461-4cb5-8ac6-0d63f0af7e31" targetNamespace="http://schemas.microsoft.com/office/2006/metadata/properties" ma:root="true" ma:fieldsID="6ddc781b1971c4c8df0e1143ef2248e4" ns3:_="" ns4:_="">
    <xsd:import namespace="345b6eab-6514-4b48-8102-5aec643af54a"/>
    <xsd:import namespace="d33e61ea-6461-4cb5-8ac6-0d63f0af7e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b6eab-6514-4b48-8102-5aec643af5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3e61ea-6461-4cb5-8ac6-0d63f0af7e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08D8A0-3065-4EB6-9788-9E70CEC59F83}">
  <ds:schemaRefs>
    <ds:schemaRef ds:uri="http://schemas.microsoft.com/sharepoint/v3/contenttype/forms"/>
  </ds:schemaRefs>
</ds:datastoreItem>
</file>

<file path=customXml/itemProps2.xml><?xml version="1.0" encoding="utf-8"?>
<ds:datastoreItem xmlns:ds="http://schemas.openxmlformats.org/officeDocument/2006/customXml" ds:itemID="{DB81E533-501C-48C3-8670-A30DD2C69476}">
  <ds:schemaRefs>
    <ds:schemaRef ds:uri="http://schemas.microsoft.com/office/2006/metadata/properties"/>
    <ds:schemaRef ds:uri="http://schemas.microsoft.com/office/infopath/2007/PartnerControls"/>
    <ds:schemaRef ds:uri="345b6eab-6514-4b48-8102-5aec643af54a"/>
  </ds:schemaRefs>
</ds:datastoreItem>
</file>

<file path=customXml/itemProps3.xml><?xml version="1.0" encoding="utf-8"?>
<ds:datastoreItem xmlns:ds="http://schemas.openxmlformats.org/officeDocument/2006/customXml" ds:itemID="{CC0374E3-56DD-4D2B-A6E4-8E4D79A64B06}">
  <ds:schemaRefs>
    <ds:schemaRef ds:uri="http://schemas.openxmlformats.org/officeDocument/2006/bibliography"/>
  </ds:schemaRefs>
</ds:datastoreItem>
</file>

<file path=customXml/itemProps4.xml><?xml version="1.0" encoding="utf-8"?>
<ds:datastoreItem xmlns:ds="http://schemas.openxmlformats.org/officeDocument/2006/customXml" ds:itemID="{938162AE-3C3B-42F5-AB98-27D836283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b6eab-6514-4b48-8102-5aec643af54a"/>
    <ds:schemaRef ds:uri="d33e61ea-6461-4cb5-8ac6-0d63f0af7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Camarao</dc:creator>
  <cp:keywords/>
  <dc:description/>
  <cp:lastModifiedBy>Rishika Sharma</cp:lastModifiedBy>
  <cp:revision>2</cp:revision>
  <dcterms:created xsi:type="dcterms:W3CDTF">2024-12-16T15:04:00Z</dcterms:created>
  <dcterms:modified xsi:type="dcterms:W3CDTF">2024-12-16T15:04:00Z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0x0101001B7F69797060F34F8F97E8E648C2C150</vt:lpwstr>
  </property>
</Properties>
</file>